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992"/>
        <w:gridCol w:w="1701"/>
        <w:gridCol w:w="456"/>
        <w:gridCol w:w="820"/>
        <w:gridCol w:w="1438"/>
        <w:gridCol w:w="1505"/>
        <w:tblGridChange w:id="0">
          <w:tblGrid>
            <w:gridCol w:w="2117"/>
            <w:gridCol w:w="992"/>
            <w:gridCol w:w="1701"/>
            <w:gridCol w:w="456"/>
            <w:gridCol w:w="820"/>
            <w:gridCol w:w="1438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BİLGİLERİ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Ophthalmology Internship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506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Department of Ophthalmology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All courses in Phase 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2410"/>
        <w:gridCol w:w="2180"/>
        <w:gridCol w:w="2181"/>
        <w:tblGridChange w:id="0">
          <w:tblGrid>
            <w:gridCol w:w="2258"/>
            <w:gridCol w:w="2410"/>
            <w:gridCol w:w="2180"/>
            <w:gridCol w:w="2181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36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weeks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coordinator, contact information and Office hours: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Zeki Tunç, MD., Professor, Maltepe University, Faculty of Medicine,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Ophthalmology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zeki.tunc@maltepe.edu.tr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Extension: 1022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Hours: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Tuesday, Thursday: 12:00-14:00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Instructors, contact information and Office hours: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Çağatay Çağlar, MD., Professor, Maltepe University, Faculty of Medicine, 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Ophthalmology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doktorcagatay@gmail.com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Extension: 1022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Tuesday, Thursday: 15:00-16:00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Özlem Cam, MD., Assistant Professor, Maltepe Üniversity, Faculty of Medicine Department of Ophthalmology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u w:val="none"/>
                        <w:shd w:fill="auto" w:val="clear"/>
                        <w:vertAlign w:val="baseline"/>
                        <w:rtl w:val="0"/>
                      </w:rPr>
                      <w:t xml:space="preserve">ozlem.cam@maltepe.edu.tr 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Extension: 1024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Tuesday, Thursday: 15:00-16:00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Learning ophthalmological symptoms and signs, and gaining skills of diagnosis and treatments of ophthalmic disorders.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CATEGORY OF THE COURSE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F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Specialization/field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Support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Transferable skills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Humanities, Communication and Management Skills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Students who comlete this course;</w:t>
            </w:r>
          </w:p>
          <w:tbl>
            <w:tblPr>
              <w:tblStyle w:val="Table8"/>
              <w:tblW w:w="8490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87"/>
              <w:gridCol w:w="4390"/>
              <w:gridCol w:w="1557"/>
              <w:gridCol w:w="1556"/>
              <w:tblGridChange w:id="0">
                <w:tblGrid>
                  <w:gridCol w:w="987"/>
                  <w:gridCol w:w="4390"/>
                  <w:gridCol w:w="1557"/>
                  <w:gridCol w:w="1556"/>
                </w:tblGrid>
              </w:tblGridChange>
            </w:tblGrid>
            <w:tr>
              <w:trPr>
                <w:cantSplit w:val="0"/>
                <w:trHeight w:val="263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06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6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Learning Outcomes, Sub-Skills and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Educational Method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07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ME Method</w:t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7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list the principles of obtaining information from incoming patients regarding their complaints.</w:t>
                  </w:r>
                </w:p>
              </w:tc>
              <w:tc>
                <w:tcPr/>
                <w:p w:rsidR="00000000" w:rsidDel="00000000" w:rsidP="00000000" w:rsidRDefault="00000000" w:rsidRPr="00000000" w14:paraId="0000007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EM2,EM4, EM5</w:t>
                  </w:r>
                </w:p>
              </w:tc>
              <w:tc>
                <w:tcPr/>
                <w:p w:rsidR="00000000" w:rsidDel="00000000" w:rsidP="00000000" w:rsidRDefault="00000000" w:rsidRPr="00000000" w14:paraId="0000007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general ophthalmological examination.</w:t>
                  </w:r>
                </w:p>
              </w:tc>
              <w:tc>
                <w:tcPr/>
                <w:p w:rsidR="00000000" w:rsidDel="00000000" w:rsidP="00000000" w:rsidRDefault="00000000" w:rsidRPr="00000000" w14:paraId="0000007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EM2,EM4, EM5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7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explain common eye diseases and their causes in all age groups, taking into account the interaction of the individual with his/her environment,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ME2, ME3,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explain practices for protecting eye health,</w:t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8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ME3, ME3,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Knows and can explain common misconceptions about the eyes and visual pathways,</w:t>
                  </w:r>
                </w:p>
              </w:tc>
              <w:tc>
                <w:tcPr/>
                <w:p w:rsidR="00000000" w:rsidDel="00000000" w:rsidP="00000000" w:rsidRDefault="00000000" w:rsidRPr="00000000" w14:paraId="0000008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8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ME2, ME3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8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obtain medical history from patients and their relatives by applying communication principles,</w:t>
                  </w:r>
                </w:p>
              </w:tc>
              <w:tc>
                <w:tcPr/>
                <w:p w:rsidR="00000000" w:rsidDel="00000000" w:rsidP="00000000" w:rsidRDefault="00000000" w:rsidRPr="00000000" w14:paraId="0000008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8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8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Determine preliminary diagnoses as a result of patients' complaints, history and physical examination,</w:t>
                  </w:r>
                </w:p>
              </w:tc>
              <w:tc>
                <w:tcPr/>
                <w:p w:rsidR="00000000" w:rsidDel="00000000" w:rsidP="00000000" w:rsidRDefault="00000000" w:rsidRPr="00000000" w14:paraId="0000008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8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8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8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Can roughly determine the visual acuity of the patient,</w:t>
                  </w:r>
                </w:p>
              </w:tc>
              <w:tc>
                <w:tcPr/>
                <w:p w:rsidR="00000000" w:rsidDel="00000000" w:rsidP="00000000" w:rsidRDefault="00000000" w:rsidRPr="00000000" w14:paraId="0000009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EM2,EM4, EM5</w:t>
                  </w:r>
                </w:p>
              </w:tc>
              <w:tc>
                <w:tcPr/>
                <w:p w:rsidR="00000000" w:rsidDel="00000000" w:rsidP="00000000" w:rsidRDefault="00000000" w:rsidRPr="00000000" w14:paraId="0000009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09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eye movements and direct/indirect pupillary light reflex examinations.</w:t>
                  </w:r>
                </w:p>
              </w:tc>
              <w:tc>
                <w:tcPr/>
                <w:p w:rsidR="00000000" w:rsidDel="00000000" w:rsidP="00000000" w:rsidRDefault="00000000" w:rsidRPr="00000000" w14:paraId="0000009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09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examine the optic disc directly with the ophthalmoscope,</w:t>
                  </w:r>
                </w:p>
              </w:tc>
              <w:tc>
                <w:tcPr/>
                <w:p w:rsidR="00000000" w:rsidDel="00000000" w:rsidP="00000000" w:rsidRDefault="00000000" w:rsidRPr="00000000" w14:paraId="0000009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EM4, EM5</w:t>
                  </w:r>
                </w:p>
              </w:tc>
              <w:tc>
                <w:tcPr/>
                <w:p w:rsidR="00000000" w:rsidDel="00000000" w:rsidP="00000000" w:rsidRDefault="00000000" w:rsidRPr="00000000" w14:paraId="0000009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distinguish between urgent and non-urgent patients as a result of their complaints, history and physical examination,</w:t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plan and manage the treatment of some non-urgent eye diseases,</w:t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A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 3, ME4</w:t>
                  </w:r>
                </w:p>
              </w:tc>
            </w:tr>
            <w:tr>
              <w:trPr>
                <w:cantSplit w:val="0"/>
                <w:trHeight w:val="279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make the necessary preliminary preparations before referral to a specialist in urgent eye diseases,</w:t>
                  </w:r>
                </w:p>
              </w:tc>
              <w:tc>
                <w:tcPr/>
                <w:p w:rsidR="00000000" w:rsidDel="00000000" w:rsidP="00000000" w:rsidRDefault="00000000" w:rsidRPr="00000000" w14:paraId="000000A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EM2, EM5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ME1, ME2, ME3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41" w:rightFromText="141" w:topFromText="0" w:bottomFromText="0" w:vertAnchor="text" w:horzAnchor="text" w:tblpX="0" w:tblpY="498"/>
        <w:tblW w:w="90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8"/>
        <w:gridCol w:w="1978"/>
        <w:tblGridChange w:id="0">
          <w:tblGrid>
            <w:gridCol w:w="7088"/>
            <w:gridCol w:w="197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Core Diseases/Clinical Problems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Learning level 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Refractive disorders (myopia, hyperopia, astigmatism)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Cataract and lens diseases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Eyelid and oculoplastic diseases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Tear system diseases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Corneal disorders and dry eye disease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Conjunctivitis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A,ÖnT,T,TT,İ,K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Conjunctiva-sclera diseases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Acute red eye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Orbital diseases and ocular tumours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Uveitis and ocular Behcet’s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Strabismus, amblyopia and nystagmus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Optic nerve diseases and other neuroophthalmological diseases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Glaucoma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Diabetic retinopathy 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Central retinal venous and arterial occlusions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ÖnT,K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Macular diseases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Retinal detachment and vitreous diseases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Ocular trauma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A,ÖnT,T,TT,İ</w:t>
            </w:r>
          </w:p>
        </w:tc>
      </w:tr>
    </w:tbl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3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 Productive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 Rational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 Questioner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 Entrepreneur</w:t>
            </w:r>
          </w:p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5. Creative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6. Complies with ethical rules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7. Respecting differences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8. Sensitive to social problems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9. Using native language effectively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10. Environmentally friendly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11. Using a foreign language effectively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12. Able to adapt to different situations and social roles</w:t>
            </w:r>
          </w:p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13. Able to work in a team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 Uses time effectively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15. Able to think critically</w:t>
            </w:r>
          </w:p>
        </w:tc>
      </w:tr>
    </w:tbl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1- Epidemiology of corneal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4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2- Epidemiology of refractive errors,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5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3- Indications, examination methods and follow-up of contact lenses</w:t>
            </w:r>
          </w:p>
          <w:p w:rsidR="00000000" w:rsidDel="00000000" w:rsidP="00000000" w:rsidRDefault="00000000" w:rsidRPr="00000000" w14:paraId="000000E6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4- Epidemiology of lens diseases and cataracts,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7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5- Eye emergencies, eye traumas, eyelid emergency diseases, orbital emergency diseases epidemiology,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8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6- Eye emergencies, acute conjuntivitis, chemical injuries of the eye, emergency vision loss epidemiology,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9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7- National eye screening program and diagnosis and treatment methods of pediatric eye diseases</w:t>
            </w:r>
          </w:p>
          <w:p w:rsidR="00000000" w:rsidDel="00000000" w:rsidP="00000000" w:rsidRDefault="00000000" w:rsidRPr="00000000" w14:paraId="000000EA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8- Epidemiology of strabismus, amblyopia and nystagmus,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B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9- Glaucoma epidemiology,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C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10- Epidemiology of orbital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D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11- Anatomy of visual pathways and epidemiology of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E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12- Epidemiology of eyelid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EF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13- Uveal structure, epidemiology of uveitis and sclera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F0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14- Epidemiology of lacrimal system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F1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15- Epidemiology of conjunctival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F2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16- Epidemiology, risk factors, pathology, signs and symptoms, differential diagnosis, imaging methods, other diagnostic methods and treatment of optic neuropathies</w:t>
            </w:r>
          </w:p>
          <w:p w:rsidR="00000000" w:rsidDel="00000000" w:rsidP="00000000" w:rsidRDefault="00000000" w:rsidRPr="00000000" w14:paraId="000000F3">
            <w:pPr>
              <w:spacing w:after="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17- Epidemiology of retinal vascular diseases, formation mechanisms, types, signs and symptoms, diagnostic methods, emergency medical treatment methods, medical/surgical treatment methods, surgical/laser treatment methods</w:t>
            </w:r>
          </w:p>
          <w:p w:rsidR="00000000" w:rsidDel="00000000" w:rsidP="00000000" w:rsidRDefault="00000000" w:rsidRPr="00000000" w14:paraId="000000F4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18- Epidemiology of retinal detachment and macular diseases, formation mechanisms, types, signs and symptoms, diagnostic methods, emergency medical treatment methods, medical/surgical treatment methods, surgical/laser treatment methods</w:t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color w:val="1a0dab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18"/>
                  <w:szCs w:val="18"/>
                  <w:rtl w:val="0"/>
                </w:rPr>
                <w:t xml:space="preserve">Kanski's Clinical Ophthalmology, 9th Edition</w:t>
              </w:r>
            </w:hyperlink>
            <w:r w:rsidDel="00000000" w:rsidR="00000000" w:rsidRPr="00000000">
              <w:fldChar w:fldCharType="begin"/>
              <w:instrText xml:space="preserve"> HYPERLINK "https://www.nobelkitabevi.com.tr/goz-hastaliklari-/7815-kanski-s-clinical-ophthalmology-9th-edition-9780702077128.html"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SUPPLEMENTARY READINGS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Basic Ophthalmological Diseases, American Academy of Ophthalmology</w:t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Evaluation method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 (Theoretical)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%40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%50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(On-the-job evaluation)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1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927" w:right="0" w:hanging="360"/>
                    <w:jc w:val="left"/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%100</w:t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 and Evaluation System is organized according to T.C. Maltepe University Faculty of Medicine Education and Training Regulations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7350.0" w:type="dxa"/>
              <w:jc w:val="left"/>
              <w:tblInd w:w="73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26"/>
              <w:gridCol w:w="851"/>
              <w:gridCol w:w="709"/>
              <w:gridCol w:w="964"/>
              <w:tblGridChange w:id="0">
                <w:tblGrid>
                  <w:gridCol w:w="4826"/>
                  <w:gridCol w:w="851"/>
                  <w:gridCol w:w="709"/>
                  <w:gridCol w:w="964"/>
                </w:tblGrid>
              </w:tblGridChange>
            </w:tblGrid>
            <w:tr>
              <w:trPr>
                <w:cantSplit w:val="0"/>
                <w:trHeight w:val="57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Number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13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(hours)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Total work load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5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A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0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1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2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5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6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5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70</w:t>
                  </w:r>
                </w:p>
              </w:tc>
            </w:tr>
          </w:tbl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 BETWEEN MED 513 OPHTHALMOLOGY COURSE LEARNING OUTCOMES AND MEDICAL EDUCATION PROGRAMME KEY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7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7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7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7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D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F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0">
                  <w:pPr>
                    <w:jc w:val="center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normal structure and functions of the organism.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pathogenesis, clinical and diagnostic features of psychiatric disorders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history and perform mental status examination.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3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interventions and refer and transfer cases  in life threatening emergency situations.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B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necessary basic medical interventions for the diahnosis and treatment of mental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F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0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1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2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3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preventive measures and forensic practices.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7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8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A9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sufficient knowledge about the structure and process of the National Health System.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D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E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F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B0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1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B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define legal responsibilities and ethical principles.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B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7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8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B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care  of most prevalent disorders in the community  with effective  evidence based medical methods.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B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BD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E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F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C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organize and implement scientific meetings and projects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2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3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4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C5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6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C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9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A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CB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C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9"/>
        <w:tblpPr w:leftFromText="141" w:rightFromText="141" w:topFromText="0" w:bottomFromText="0" w:vertAnchor="page" w:horzAnchor="margin" w:tblpX="0" w:tblpY="110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DÖNEM 5 TIP 513 GÖZ STAJI DERS LİSTESİ VE SIRALAMASI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864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43"/>
              <w:gridCol w:w="5172"/>
              <w:gridCol w:w="2227"/>
              <w:tblGridChange w:id="0">
                <w:tblGrid>
                  <w:gridCol w:w="1243"/>
                  <w:gridCol w:w="5172"/>
                  <w:gridCol w:w="2227"/>
                </w:tblGrid>
              </w:tblGridChange>
            </w:tblGrid>
            <w:tr>
              <w:trPr>
                <w:cantSplit w:val="0"/>
                <w:trHeight w:val="332" w:hRule="atLeast"/>
                <w:tblHeader w:val="0"/>
              </w:trPr>
              <w:tc>
                <w:tcPr>
                  <w:shd w:fill="ffffff" w:val="clear"/>
                </w:tcPr>
                <w:p w:rsidR="00000000" w:rsidDel="00000000" w:rsidP="00000000" w:rsidRDefault="00000000" w:rsidRPr="00000000" w14:paraId="000001D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1D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Course/competency</w:t>
                  </w:r>
                </w:p>
              </w:tc>
              <w:tc>
                <w:tcPr>
                  <w:shd w:fill="ffffff" w:val="clear"/>
                </w:tcPr>
                <w:p w:rsidR="00000000" w:rsidDel="00000000" w:rsidP="00000000" w:rsidRDefault="00000000" w:rsidRPr="00000000" w14:paraId="000001D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Instructor</w:t>
                  </w:r>
                </w:p>
              </w:tc>
            </w:tr>
            <w:tr>
              <w:trPr>
                <w:cantSplit w:val="0"/>
                <w:trHeight w:val="37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D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D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Corneal Anatomy and Diseases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Zeki Tunç,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D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D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Refraction Disorders and Their Treatment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Zeki Tunç, MD, Prof.</w:t>
                  </w:r>
                </w:p>
              </w:tc>
            </w:tr>
            <w:tr>
              <w:trPr>
                <w:cantSplit w:val="0"/>
                <w:trHeight w:val="37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D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D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Contact Lenses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Zeki Tunç,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Lens Diseases and Cataracts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Ocular Emergencies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Ocular Emergencies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National Eye Screening Program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E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Strabismus, Amblyopia and Nystagmus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F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Glaucoma and its Treatment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F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Orbital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F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Vision Pathway and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Çağatay Çağlar, MD, 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F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Uveitis and Scleral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13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F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Lacrimal System and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0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Retina and Diseases 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15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0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Retina and Diseases 2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16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0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Optic Neuropathies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17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0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Eyelids and Their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  <w:tr>
              <w:trPr>
                <w:cantSplit w:val="0"/>
                <w:trHeight w:val="35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18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20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Conjunctiva and its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Özlem Cam,  MD, Assist.Prof.</w:t>
                  </w:r>
                </w:p>
              </w:tc>
            </w:tr>
          </w:tbl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608"/>
        <w:gridCol w:w="2608"/>
        <w:gridCol w:w="2608"/>
        <w:gridCol w:w="2609"/>
        <w:tblGridChange w:id="0">
          <w:tblGrid>
            <w:gridCol w:w="1129"/>
            <w:gridCol w:w="2608"/>
            <w:gridCol w:w="2608"/>
            <w:gridCol w:w="2608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211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5 MED 513 Ophthalmology Internship Course Programme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First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9.00-10.30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Uveitis and Scleral Diseases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Cataract and its Treatment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Retina and Diseases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Strabismus, Amblyopia and Nystagmus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Lacrimal System and Diseases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Glaucoma and its Treatment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Retina and Diseases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National Eye Screening Program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Optic Neuropathies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Orbital Diseases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Visual Pathway and its Diseases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</w:tcPr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Second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EXAM/TEST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EXAM/TEST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EXAM/TEST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Eyelid and Diseases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Ocular Emergencies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Cornea Anatomy and Diseases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Conjunctiva and its Diseases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Ocular  Emergencies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Refraction Defects and Their Treatment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LESSON: Contact Lenses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Polyclinic/Surgery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EXAM/ORAL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F">
      <w:pPr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type w:val="nextPage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4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81"/>
        <w:gridCol w:w="7162"/>
        <w:tblGridChange w:id="0">
          <w:tblGrid>
            <w:gridCol w:w="7281"/>
            <w:gridCol w:w="7162"/>
          </w:tblGrid>
        </w:tblGridChange>
      </w:tblGrid>
      <w:tr>
        <w:trPr>
          <w:cantSplit w:val="0"/>
          <w:trHeight w:val="86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2"/>
              <w:gridCol w:w="2143"/>
              <w:gridCol w:w="3905"/>
              <w:tblGridChange w:id="0">
                <w:tblGrid>
                  <w:gridCol w:w="812"/>
                  <w:gridCol w:w="2143"/>
                  <w:gridCol w:w="3905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EDUCATIONAL METHODS GUIDE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9"/>
              <w:gridCol w:w="2069"/>
              <w:gridCol w:w="3872"/>
              <w:tblGridChange w:id="0">
                <w:tblGrid>
                  <w:gridCol w:w="919"/>
                  <w:gridCol w:w="2069"/>
                  <w:gridCol w:w="3872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2B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MEASUREMENT EVALUATION METHODS GUIDE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C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D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927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tcBorders>
          <w:bottom w:color="000000" w:space="0" w:sz="6" w:val="single"/>
        </w:tcBorders>
        <w:shd w:fill="dfdfbf" w:val="clear"/>
      </w:tcPr>
    </w:tblStylePr>
    <w:tblStylePr w:type="firstCol">
      <w:tcPr>
        <w:tcBorders>
          <w:right w:color="000000" w:space="0" w:sz="12" w:val="single"/>
        </w:tcBorders>
      </w:tcPr>
    </w:tblStylePr>
    <w:tblStylePr w:type="firstRow">
      <w:tcPr>
        <w:tcBorders>
          <w:top w:color="000000" w:space="0" w:sz="6" w:val="single"/>
          <w:bottom w:color="000000" w:space="0" w:sz="12" w:val="single"/>
        </w:tcBorders>
      </w:tcPr>
    </w:tblStylePr>
    <w:tblStylePr w:type="lastCol">
      <w:tcPr>
        <w:tcBorders>
          <w:left w:color="000000" w:space="0" w:sz="12" w:val="single"/>
        </w:tcBorders>
      </w:tcPr>
    </w:tblStylePr>
    <w:tblStylePr w:type="lastRow">
      <w:tcPr>
        <w:tcBorders>
          <w:top w:color="000000" w:space="0" w:sz="12" w:val="single"/>
        </w:tcBorders>
        <w:shd w:fill="dfbfdf" w:val="clear"/>
      </w:tcPr>
    </w:tblStylePr>
    <w:tblStylePr w:type="neCell">
      <w:rPr>
        <w:b w:val="1"/>
      </w:rPr>
    </w:tblStylePr>
    <w:tblStylePr w:type="swCell">
      <w:rPr>
        <w:b w:val="1"/>
      </w:rPr>
    </w:tblStyle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https://www.nobelkitabevi.com.tr/goz-hastaliklari-/7815-kanski-s-clinical-ophthalmology-9th-edition-9780702077128.html" TargetMode="External"/><Relationship Id="rId9" Type="http://schemas.openxmlformats.org/officeDocument/2006/relationships/hyperlink" Target="mailto:ozlem.cam@maltepe.edu.tr%20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zeki.tunc@maltepe.edu.tr" TargetMode="External"/><Relationship Id="rId8" Type="http://schemas.openxmlformats.org/officeDocument/2006/relationships/hyperlink" Target="mailto:doktorcagata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